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79" w:rsidRPr="00D27C8F" w:rsidRDefault="00D95E79" w:rsidP="00D95E79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Механикадағы ұқсастық әдістері және өлшем бірліктер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7M05405-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>Механика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 xml:space="preserve"> және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 xml:space="preserve"> энергетика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Дәріс </w:t>
      </w:r>
      <w:r w:rsidR="00800E61">
        <w:rPr>
          <w:rFonts w:ascii="Times New Roman" w:hAnsi="Times New Roman" w:cs="Times New Roman"/>
          <w:sz w:val="18"/>
          <w:szCs w:val="18"/>
          <w:u w:val="single"/>
          <w:lang w:val="en-US"/>
        </w:rPr>
        <w:t>4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>Қысқа конспект</w:t>
      </w:r>
      <w:r w:rsidR="00800E61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 xml:space="preserve"> 4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</w:p>
    <w:p w:rsidR="00800E61" w:rsidRDefault="00800E61" w:rsidP="00754E4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D95E79" w:rsidRPr="00D95E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95E79">
        <w:rPr>
          <w:rFonts w:ascii="Times New Roman" w:hAnsi="Times New Roman" w:cs="Times New Roman"/>
          <w:b/>
          <w:sz w:val="24"/>
          <w:szCs w:val="24"/>
          <w:lang w:val="kk-KZ"/>
        </w:rPr>
        <w:t>дәріс</w:t>
      </w:r>
      <w:r w:rsidR="00800E6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210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Әр түрлі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анықтауыш </w:t>
      </w:r>
      <w:r w:rsidRPr="000210CC">
        <w:rPr>
          <w:rFonts w:ascii="Times New Roman" w:hAnsi="Times New Roman" w:cs="Times New Roman"/>
          <w:b/>
          <w:sz w:val="24"/>
          <w:szCs w:val="24"/>
          <w:lang w:val="kk-KZ"/>
        </w:rPr>
        <w:t>теңдеулер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0210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үшін өлшем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діліктердің көшірілуі</w:t>
      </w:r>
    </w:p>
    <w:p w:rsidR="00754E4E" w:rsidRDefault="00754E4E" w:rsidP="00754E4E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4E4E" w:rsidRPr="000210CC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Туынды бірлігін анықтауыш теңдеуі арқылы өрнектеп табу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(яғни математикалық тұжырым</w:t>
      </w:r>
      <w:r>
        <w:rPr>
          <w:rFonts w:ascii="Times New Roman" w:hAnsi="Times New Roman" w:cs="Times New Roman"/>
          <w:sz w:val="24"/>
          <w:szCs w:val="24"/>
          <w:lang w:val="kk-KZ"/>
        </w:rPr>
        <w:t>ға сүйене отырып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анықтап табу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немесе заң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ды), берілген шама бас (негізгі) шамалармен байланысқандығын ескеріп, туындыны </w:t>
      </w:r>
      <w:r w:rsidRPr="006C7144">
        <w:rPr>
          <w:rFonts w:ascii="Times New Roman" w:hAnsi="Times New Roman" w:cs="Times New Roman"/>
          <w:sz w:val="24"/>
          <w:szCs w:val="24"/>
          <w:lang w:val="kk-KZ"/>
        </w:rPr>
        <w:t>1-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ге немесе қандай да бір басқа тұрақты шамаға, теңдеуде пропорционалдылық коэффициентінің орнында, тұрған санға тең деп қабылдаймыз. 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Анықтауыш теңдеуі п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ропорционалдылық коэффициентін өлшемді ететін</w:t>
      </w:r>
      <w:r>
        <w:rPr>
          <w:rFonts w:ascii="Times New Roman" w:hAnsi="Times New Roman" w:cs="Times New Roman"/>
          <w:sz w:val="24"/>
          <w:szCs w:val="24"/>
          <w:lang w:val="kk-KZ"/>
        </w:rPr>
        <w:t>дей өзгеруі ықтимал, яғни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 (негізгі)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 бірліктердің </w:t>
      </w:r>
      <w:r>
        <w:rPr>
          <w:rFonts w:ascii="Times New Roman" w:hAnsi="Times New Roman" w:cs="Times New Roman"/>
          <w:sz w:val="24"/>
          <w:szCs w:val="24"/>
          <w:lang w:val="kk-KZ"/>
        </w:rPr>
        <w:t>өлшемділіктеріне тәуелді болуы мүмкін. Мұны күш бірлігін жүйенің туынды бірлігі ретінде алынған мысалынан көрсетуге болады,  жүйедегі бас шамалар рөлін ұзындық, масса және уақыт бірліктері атқарады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Күш бірлігін әдеттегідей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Ньютонн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ың екінші заңын қолдана отырып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анықтау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>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ділік</w:t>
      </w:r>
      <w:r w:rsidRPr="000210CC">
        <w:rPr>
          <w:rFonts w:ascii="Times New Roman" w:hAnsi="Times New Roman" w:cs="Times New Roman"/>
          <w:sz w:val="24"/>
          <w:szCs w:val="24"/>
          <w:lang w:val="kk-KZ"/>
        </w:rPr>
        <w:t xml:space="preserve"> формула</w:t>
      </w:r>
      <w:r>
        <w:rPr>
          <w:rFonts w:ascii="Times New Roman" w:hAnsi="Times New Roman" w:cs="Times New Roman"/>
          <w:sz w:val="24"/>
          <w:szCs w:val="24"/>
          <w:lang w:val="kk-KZ"/>
        </w:rPr>
        <w:t>сы (1.13) түрінде алынады, яғни</w:t>
      </w:r>
    </w:p>
    <w:p w:rsidR="00754E4E" w:rsidRDefault="00754E4E" w:rsidP="00754E4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210CC">
        <w:rPr>
          <w:rFonts w:ascii="Times New Roman" w:hAnsi="Times New Roman" w:cs="Times New Roman"/>
          <w:sz w:val="24"/>
          <w:szCs w:val="24"/>
          <w:lang w:val="kk-KZ"/>
        </w:rPr>
        <w:t>[F] = L M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754E4E" w:rsidRDefault="00754E4E" w:rsidP="00754E4E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10CC">
        <w:rPr>
          <w:rFonts w:ascii="Times New Roman" w:hAnsi="Times New Roman" w:cs="Times New Roman"/>
          <w:sz w:val="24"/>
          <w:szCs w:val="24"/>
          <w:lang w:val="kk-KZ"/>
        </w:rPr>
        <w:t>Егер біз бұл өлшемді бүкіләлемдік тартылыс заңының (1.5) өрнегіне алмастырсақ, онда гравитациялық тұрақты үшін өлшем алынады</w:t>
      </w:r>
    </w:p>
    <w:p w:rsidR="00754E4E" w:rsidRDefault="00754E4E" w:rsidP="00754E4E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[G]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754E4E" w:rsidRDefault="00754E4E" w:rsidP="00754E4E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Pr="00D22EC4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>Гравитациялық тұрақты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ділігі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нің болуы оның сандық мәні </w:t>
      </w:r>
      <w:r>
        <w:rPr>
          <w:rFonts w:ascii="Times New Roman" w:hAnsi="Times New Roman" w:cs="Times New Roman"/>
          <w:sz w:val="24"/>
          <w:szCs w:val="24"/>
          <w:lang w:val="kk-KZ"/>
        </w:rPr>
        <w:t>бас (негізгі)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бірліктерді таңда</w:t>
      </w:r>
      <w:r>
        <w:rPr>
          <w:rFonts w:ascii="Times New Roman" w:hAnsi="Times New Roman" w:cs="Times New Roman"/>
          <w:sz w:val="24"/>
          <w:szCs w:val="24"/>
          <w:lang w:val="kk-KZ"/>
        </w:rPr>
        <w:t>п алудан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 екенін білдіреді.</w:t>
      </w: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>Егер күш бірлігін анықтау үшін Ньютонның екінші заңы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емес, </w:t>
      </w:r>
      <w:r>
        <w:rPr>
          <w:rFonts w:ascii="Times New Roman" w:hAnsi="Times New Roman" w:cs="Times New Roman"/>
          <w:sz w:val="24"/>
          <w:szCs w:val="24"/>
          <w:lang w:val="kk-KZ"/>
        </w:rPr>
        <w:t>бүкіләлемдік тартылыс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заңы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қолданса, онда гравитациялық тұрақты өлшемсіз болады, яғни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 (негізгі)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бірліктер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>н тәуелсіз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, бірақ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қандай да бір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тұрақты санға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немесе мысал үшін, бірлікке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тең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болады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. Бұл анықтама</w:t>
      </w:r>
      <w:r>
        <w:rPr>
          <w:rFonts w:ascii="Times New Roman" w:hAnsi="Times New Roman" w:cs="Times New Roman"/>
          <w:sz w:val="24"/>
          <w:szCs w:val="24"/>
          <w:lang w:val="kk-KZ"/>
        </w:rPr>
        <w:t>дан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күш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діліг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келесідей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болады</w:t>
      </w:r>
    </w:p>
    <w:p w:rsidR="00754E4E" w:rsidRDefault="00754E4E" w:rsidP="00754E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[F]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</w:p>
    <w:p w:rsidR="00754E4E" w:rsidRDefault="00754E4E" w:rsidP="00754E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жоғарыда айтылған, өлшемділігінен айырылған </w:t>
      </w:r>
      <w:r w:rsidRPr="007102DD">
        <w:rPr>
          <w:rFonts w:ascii="Times New Roman" w:hAnsi="Times New Roman" w:cs="Times New Roman"/>
          <w:sz w:val="24"/>
          <w:szCs w:val="24"/>
          <w:lang w:val="kk-KZ"/>
        </w:rPr>
        <w:t>1-</w:t>
      </w:r>
      <w:r>
        <w:rPr>
          <w:rFonts w:ascii="Times New Roman" w:hAnsi="Times New Roman" w:cs="Times New Roman"/>
          <w:sz w:val="24"/>
          <w:szCs w:val="24"/>
          <w:lang w:val="kk-KZ"/>
        </w:rPr>
        <w:t>ге тең инерциялық тұрақтының да, өлшемділігі бар болады</w:t>
      </w:r>
    </w:p>
    <w:p w:rsidR="00754E4E" w:rsidRDefault="00754E4E" w:rsidP="00754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γ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]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M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754E4E" w:rsidRDefault="00754E4E" w:rsidP="00754E4E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Күш өлшемінің өзгеруі және өлшемді инерциялық тұрақтының пайда болуы, сонымен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қатар,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өлшемді гравитациялық тұрақтының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бірден жоғалып кетуі, міндетті түрде, заңдардың математикалық түрде өрнектелуін және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еханика саласындағы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анықтамалардың (ережелер) </w:t>
      </w:r>
      <w:r w:rsidRPr="00362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 ө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лшем формулаларының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өзгеруіне әкеледі</w:t>
      </w:r>
      <w:r>
        <w:rPr>
          <w:rFonts w:ascii="Times New Roman" w:hAnsi="Times New Roman" w:cs="Times New Roman"/>
          <w:sz w:val="24"/>
          <w:szCs w:val="24"/>
          <w:lang w:val="kk-KZ"/>
        </w:rPr>
        <w:t>. Мысалы, бұрынғыдай анықталатын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жұмыстың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діліг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жолдың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күш</w:t>
      </w:r>
      <w:r>
        <w:rPr>
          <w:rFonts w:ascii="Times New Roman" w:hAnsi="Times New Roman" w:cs="Times New Roman"/>
          <w:sz w:val="24"/>
          <w:szCs w:val="24"/>
          <w:lang w:val="kk-KZ"/>
        </w:rPr>
        <w:t>ке көбейтіндісінен емес, келесідей:</w:t>
      </w: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4E4E" w:rsidRDefault="00754E4E" w:rsidP="00754E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[A] =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M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 ,</w:t>
      </w:r>
    </w:p>
    <w:p w:rsidR="00754E4E" w:rsidRDefault="00754E4E" w:rsidP="00754E4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Болады</w:t>
      </w:r>
    </w:p>
    <w:p w:rsidR="00754E4E" w:rsidRDefault="00754E4E" w:rsidP="00754E4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>[A] = [F][</w:t>
      </w:r>
      <w:r w:rsidRPr="00D22EC4">
        <w:rPr>
          <w:rFonts w:ascii="Times New Roman" w:hAnsi="Times New Roman" w:cs="Times New Roman"/>
          <w:i/>
          <w:sz w:val="24"/>
          <w:szCs w:val="24"/>
          <w:lang w:val="kk-KZ"/>
        </w:rPr>
        <w:t>l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]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L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D22EC4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754E4E" w:rsidRDefault="00754E4E" w:rsidP="00754E4E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Жұмыстың </w:t>
      </w:r>
      <w:r>
        <w:rPr>
          <w:rFonts w:ascii="Times New Roman" w:hAnsi="Times New Roman" w:cs="Times New Roman"/>
          <w:sz w:val="24"/>
          <w:szCs w:val="24"/>
          <w:lang w:val="kk-KZ"/>
        </w:rPr>
        <w:t>мұндай өлшемділігін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басқа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формула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дан анықтауға (табуға)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болады,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дәлірек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йтқанда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:</w:t>
      </w:r>
    </w:p>
    <w:p w:rsidR="00754E4E" w:rsidRDefault="00754E4E" w:rsidP="00754E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w:lastRenderedPageBreak/>
            <m:t>A=C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mυ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m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υ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  <w:lang w:val="kk-KZ"/>
            </w:rPr>
            <m:t>.</m:t>
          </m:r>
        </m:oMath>
      </m:oMathPara>
    </w:p>
    <w:p w:rsidR="00754E4E" w:rsidRDefault="00754E4E" w:rsidP="00754E4E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Теңдіктің оң жағына </w:t>
      </w:r>
      <w:r w:rsidRPr="00873A95">
        <w:rPr>
          <w:rFonts w:ascii="Times New Roman" w:hAnsi="Times New Roman" w:cs="Times New Roman"/>
          <w:sz w:val="24"/>
          <w:szCs w:val="24"/>
          <w:lang w:val="kk-KZ"/>
        </w:rPr>
        <w:t>m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массаның,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жылдамдықтың және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инерциялық тұрақтының өлшемділігін қойып,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ала</w:t>
      </w:r>
      <w:r>
        <w:rPr>
          <w:rFonts w:ascii="Times New Roman" w:hAnsi="Times New Roman" w:cs="Times New Roman"/>
          <w:sz w:val="24"/>
          <w:szCs w:val="24"/>
          <w:lang w:val="kk-KZ"/>
        </w:rPr>
        <w:t>тыны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мыз</w:t>
      </w:r>
    </w:p>
    <w:p w:rsidR="00754E4E" w:rsidRDefault="00754E4E" w:rsidP="00754E4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[A] =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M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∙M∙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p>
            </m:sSup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1 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D22EC4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754E4E" w:rsidRDefault="00754E4E" w:rsidP="00754E4E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2EC4">
        <w:rPr>
          <w:rFonts w:ascii="Times New Roman" w:hAnsi="Times New Roman" w:cs="Times New Roman"/>
          <w:sz w:val="24"/>
          <w:szCs w:val="24"/>
          <w:lang w:val="kk-KZ"/>
        </w:rPr>
        <w:t>Осылайша, әр түрлі жүйелер бір-бірінен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анықтауыш теңдеулерін таңдап алудан ерекшеленетін болса, жүйелердің кейбірінде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пропорционалдылық коэффици</w:t>
      </w:r>
      <w:r>
        <w:rPr>
          <w:rFonts w:ascii="Times New Roman" w:hAnsi="Times New Roman" w:cs="Times New Roman"/>
          <w:sz w:val="24"/>
          <w:szCs w:val="24"/>
          <w:lang w:val="kk-KZ"/>
        </w:rPr>
        <w:t>енттерін өлшемсіз деп қабылдап, кейбірінде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өлшемсіз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(және әдетте бірг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е тең)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болуын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ескеру қажет. Бір жүйеден екіншісіне ауысқан кезде өлшемді</w:t>
      </w:r>
      <w:r>
        <w:rPr>
          <w:rFonts w:ascii="Times New Roman" w:hAnsi="Times New Roman" w:cs="Times New Roman"/>
          <w:sz w:val="24"/>
          <w:szCs w:val="24"/>
          <w:lang w:val="kk-KZ"/>
        </w:rPr>
        <w:t>лікті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анықтау үшін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 xml:space="preserve"> өлшемсіз коэффициентті өлшем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діге ауыстыру керек және </w:t>
      </w:r>
      <w:r w:rsidRPr="00D22EC4">
        <w:rPr>
          <w:rFonts w:ascii="Times New Roman" w:hAnsi="Times New Roman" w:cs="Times New Roman"/>
          <w:sz w:val="24"/>
          <w:szCs w:val="24"/>
          <w:lang w:val="kk-KZ"/>
        </w:rPr>
        <w:t>керісінше.</w:t>
      </w:r>
    </w:p>
    <w:p w:rsidR="00754E4E" w:rsidRDefault="00754E4E" w:rsidP="00754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1E94" w:rsidRPr="00754E4E" w:rsidRDefault="00DB1E94" w:rsidP="00754E4E">
      <w:pPr>
        <w:rPr>
          <w:lang w:val="kk-KZ"/>
        </w:rPr>
      </w:pPr>
    </w:p>
    <w:sectPr w:rsidR="00DB1E94" w:rsidRPr="00754E4E" w:rsidSect="000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1B"/>
    <w:rsid w:val="0001535E"/>
    <w:rsid w:val="0010271B"/>
    <w:rsid w:val="002530DE"/>
    <w:rsid w:val="006E6540"/>
    <w:rsid w:val="00754E4E"/>
    <w:rsid w:val="00800E61"/>
    <w:rsid w:val="009C291F"/>
    <w:rsid w:val="00D6230D"/>
    <w:rsid w:val="00D95E79"/>
    <w:rsid w:val="00DB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2024-11-07T16:33:00Z</dcterms:created>
  <dcterms:modified xsi:type="dcterms:W3CDTF">2024-11-07T17:55:00Z</dcterms:modified>
</cp:coreProperties>
</file>